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E3" w:rsidRPr="0084702F" w:rsidRDefault="002113E3" w:rsidP="002113E3">
      <w:pPr>
        <w:rPr>
          <w:rFonts w:ascii="Times New Roman" w:hAnsi="Times New Roman" w:cs="Times New Roman"/>
          <w:b/>
          <w:sz w:val="28"/>
          <w:szCs w:val="28"/>
        </w:rPr>
      </w:pPr>
      <w:r w:rsidRPr="0084702F">
        <w:rPr>
          <w:rFonts w:ascii="Times New Roman" w:hAnsi="Times New Roman" w:cs="Times New Roman"/>
          <w:b/>
          <w:sz w:val="28"/>
          <w:szCs w:val="28"/>
        </w:rPr>
        <w:t>Уважаемые взрослые!</w:t>
      </w:r>
    </w:p>
    <w:p w:rsidR="002113E3" w:rsidRPr="006431BF" w:rsidRDefault="002113E3" w:rsidP="002113E3">
      <w:pPr>
        <w:rPr>
          <w:rFonts w:ascii="Times New Roman" w:hAnsi="Times New Roman" w:cs="Times New Roman"/>
          <w:sz w:val="24"/>
          <w:szCs w:val="24"/>
        </w:rPr>
      </w:pPr>
      <w:r w:rsidRPr="0084702F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Словарный запас и речь наших детей всё больше напоминают свалку. Мы через слово слышим от них «</w:t>
      </w:r>
      <w:proofErr w:type="spellStart"/>
      <w:r w:rsidRPr="0084702F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вау</w:t>
      </w:r>
      <w:proofErr w:type="spellEnd"/>
      <w:r w:rsidRPr="0084702F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», «круто», «респект», «прикол», «супер», «</w:t>
      </w:r>
      <w:proofErr w:type="spellStart"/>
      <w:r w:rsidRPr="0084702F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хавать</w:t>
      </w:r>
      <w:proofErr w:type="spellEnd"/>
      <w:r w:rsidRPr="0084702F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», «</w:t>
      </w:r>
      <w:proofErr w:type="spellStart"/>
      <w:r w:rsidRPr="0084702F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офигеть</w:t>
      </w:r>
      <w:proofErr w:type="spellEnd"/>
      <w:r w:rsidRPr="0084702F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». Эти «сорняки» делают речь наших детей сухой, мысли спутанными и, как говорят психологи, делают детей неуверенными в себе.</w:t>
      </w:r>
      <w:r w:rsidRPr="008470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C4B"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54322CBC" wp14:editId="23EB0908">
            <wp:extent cx="3023870" cy="2327208"/>
            <wp:effectExtent l="0" t="0" r="0" b="0"/>
            <wp:docPr id="1" name="Рисунок 1" descr="https://ds05.infourok.ru/uploads/ex/061c/000040b3-b9cc7589/hello_html_6aad17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61c/000040b3-b9cc7589/hello_html_6aad175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32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3E3" w:rsidRDefault="002113E3" w:rsidP="00211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3E3" w:rsidRDefault="002113E3" w:rsidP="002113E3">
      <w:pPr>
        <w:rPr>
          <w:rFonts w:ascii="Times New Roman" w:hAnsi="Times New Roman" w:cs="Times New Roman"/>
          <w:sz w:val="24"/>
          <w:szCs w:val="24"/>
        </w:rPr>
      </w:pPr>
    </w:p>
    <w:p w:rsidR="002113E3" w:rsidRDefault="002113E3" w:rsidP="002113E3">
      <w:pPr>
        <w:rPr>
          <w:rFonts w:ascii="Times New Roman" w:hAnsi="Times New Roman" w:cs="Times New Roman"/>
          <w:sz w:val="24"/>
          <w:szCs w:val="24"/>
        </w:rPr>
      </w:pPr>
    </w:p>
    <w:p w:rsidR="002113E3" w:rsidRDefault="002113E3" w:rsidP="002113E3">
      <w:pPr>
        <w:rPr>
          <w:rFonts w:ascii="Times New Roman" w:hAnsi="Times New Roman" w:cs="Times New Roman"/>
          <w:sz w:val="24"/>
          <w:szCs w:val="24"/>
        </w:rPr>
      </w:pPr>
    </w:p>
    <w:p w:rsidR="002113E3" w:rsidRDefault="002113E3" w:rsidP="002113E3">
      <w:pPr>
        <w:rPr>
          <w:rFonts w:ascii="Times New Roman" w:hAnsi="Times New Roman" w:cs="Times New Roman"/>
          <w:sz w:val="24"/>
          <w:szCs w:val="24"/>
        </w:rPr>
      </w:pPr>
    </w:p>
    <w:p w:rsidR="002113E3" w:rsidRDefault="002113E3" w:rsidP="002113E3">
      <w:pPr>
        <w:rPr>
          <w:rFonts w:ascii="Times New Roman" w:hAnsi="Times New Roman" w:cs="Times New Roman"/>
          <w:sz w:val="24"/>
          <w:szCs w:val="24"/>
        </w:rPr>
      </w:pPr>
    </w:p>
    <w:p w:rsidR="002113E3" w:rsidRDefault="002113E3" w:rsidP="002113E3">
      <w:pPr>
        <w:rPr>
          <w:rFonts w:ascii="Times New Roman" w:hAnsi="Times New Roman" w:cs="Times New Roman"/>
          <w:sz w:val="24"/>
          <w:szCs w:val="24"/>
        </w:rPr>
      </w:pPr>
    </w:p>
    <w:p w:rsidR="002113E3" w:rsidRDefault="002113E3" w:rsidP="002113E3">
      <w:pPr>
        <w:rPr>
          <w:rFonts w:ascii="Times New Roman" w:hAnsi="Times New Roman" w:cs="Times New Roman"/>
          <w:sz w:val="24"/>
          <w:szCs w:val="24"/>
        </w:rPr>
      </w:pPr>
    </w:p>
    <w:p w:rsidR="002113E3" w:rsidRDefault="002113E3" w:rsidP="002113E3">
      <w:pPr>
        <w:rPr>
          <w:rFonts w:ascii="Times New Roman" w:hAnsi="Times New Roman" w:cs="Times New Roman"/>
          <w:sz w:val="24"/>
          <w:szCs w:val="24"/>
        </w:rPr>
      </w:pPr>
    </w:p>
    <w:p w:rsidR="002113E3" w:rsidRDefault="002113E3" w:rsidP="002113E3">
      <w:pPr>
        <w:rPr>
          <w:rFonts w:ascii="Times New Roman" w:hAnsi="Times New Roman" w:cs="Times New Roman"/>
          <w:sz w:val="24"/>
          <w:szCs w:val="24"/>
        </w:rPr>
      </w:pPr>
    </w:p>
    <w:p w:rsidR="002113E3" w:rsidRDefault="002113E3" w:rsidP="002113E3">
      <w:pPr>
        <w:rPr>
          <w:rFonts w:ascii="Times New Roman" w:hAnsi="Times New Roman" w:cs="Times New Roman"/>
          <w:sz w:val="24"/>
          <w:szCs w:val="24"/>
        </w:rPr>
      </w:pPr>
    </w:p>
    <w:p w:rsidR="002113E3" w:rsidRDefault="002113E3" w:rsidP="002113E3">
      <w:pPr>
        <w:rPr>
          <w:rFonts w:ascii="Times New Roman" w:hAnsi="Times New Roman" w:cs="Times New Roman"/>
          <w:sz w:val="24"/>
          <w:szCs w:val="24"/>
        </w:rPr>
      </w:pPr>
    </w:p>
    <w:p w:rsidR="002113E3" w:rsidRDefault="002113E3" w:rsidP="002113E3">
      <w:pPr>
        <w:rPr>
          <w:rFonts w:ascii="Times New Roman" w:hAnsi="Times New Roman" w:cs="Times New Roman"/>
          <w:sz w:val="24"/>
          <w:szCs w:val="24"/>
        </w:rPr>
      </w:pPr>
    </w:p>
    <w:p w:rsidR="002113E3" w:rsidRDefault="002113E3" w:rsidP="002113E3">
      <w:pPr>
        <w:rPr>
          <w:rFonts w:ascii="Times New Roman" w:hAnsi="Times New Roman" w:cs="Times New Roman"/>
          <w:sz w:val="24"/>
          <w:szCs w:val="24"/>
        </w:rPr>
      </w:pPr>
    </w:p>
    <w:p w:rsidR="002113E3" w:rsidRDefault="002113E3" w:rsidP="002113E3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C63E7E" wp14:editId="72581F4B">
            <wp:extent cx="3397956" cy="3194756"/>
            <wp:effectExtent l="0" t="0" r="0" b="0"/>
            <wp:docPr id="2" name="Рисунок 2" descr="https://avatars.mds.yandex.net/get-zen_doc/3962340/pub_5f585ae0653f433539f27ebc_5f585b7c904e9d1d7b022d1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3962340/pub_5f585ae0653f433539f27ebc_5f585b7c904e9d1d7b022d10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386" cy="320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3E3" w:rsidRDefault="002113E3" w:rsidP="002113E3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13E3" w:rsidRDefault="002113E3" w:rsidP="002113E3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13E3" w:rsidRDefault="002113E3" w:rsidP="002113E3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13E3" w:rsidRDefault="002113E3" w:rsidP="002113E3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13E3" w:rsidRDefault="002113E3" w:rsidP="002113E3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13E3" w:rsidRDefault="002113E3" w:rsidP="002113E3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113E3" w:rsidRPr="00DC4657" w:rsidRDefault="002113E3" w:rsidP="002113E3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Смоленское областное государственное бюджетное </w:t>
      </w:r>
      <w:proofErr w:type="spellStart"/>
      <w:r w:rsidRPr="00DC4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учреждение</w:t>
      </w:r>
      <w:proofErr w:type="gramStart"/>
      <w:r w:rsidRPr="00DC4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«Г</w:t>
      </w:r>
      <w:proofErr w:type="gramEnd"/>
      <w:r w:rsidRPr="00DC4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агаринский</w:t>
      </w:r>
      <w:proofErr w:type="spellEnd"/>
      <w:r w:rsidRPr="00DC4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социально-реабилитационный центр для несовершеннолетних «Яуза»(СОГБУ СРЦН «Яуза»)</w:t>
      </w:r>
    </w:p>
    <w:p w:rsidR="002113E3" w:rsidRPr="00DC4657" w:rsidRDefault="002113E3" w:rsidP="00211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2113E3" w:rsidRPr="00DC4657" w:rsidRDefault="002113E3" w:rsidP="00211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4657">
        <w:rPr>
          <w:rFonts w:ascii="Times New Roman" w:eastAsia="Times New Roman" w:hAnsi="Times New Roman" w:cs="Times New Roman"/>
          <w:sz w:val="18"/>
          <w:szCs w:val="18"/>
          <w:lang w:eastAsia="ru-RU"/>
        </w:rPr>
        <w:t>215047 Смоленская область, Гагаринский район</w:t>
      </w:r>
    </w:p>
    <w:p w:rsidR="002113E3" w:rsidRPr="00DC4657" w:rsidRDefault="002113E3" w:rsidP="00211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46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 Карманово ул. </w:t>
      </w:r>
      <w:proofErr w:type="gramStart"/>
      <w:r w:rsidRPr="00DC4657">
        <w:rPr>
          <w:rFonts w:ascii="Times New Roman" w:eastAsia="Times New Roman" w:hAnsi="Times New Roman" w:cs="Times New Roman"/>
          <w:sz w:val="18"/>
          <w:szCs w:val="18"/>
          <w:lang w:eastAsia="ru-RU"/>
        </w:rPr>
        <w:t>Октябрьская</w:t>
      </w:r>
      <w:proofErr w:type="gramEnd"/>
      <w:r w:rsidRPr="00DC46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д.8 </w:t>
      </w:r>
    </w:p>
    <w:p w:rsidR="002113E3" w:rsidRPr="00DC4657" w:rsidRDefault="002113E3" w:rsidP="00211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4657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8-(48135) 7-78-59,  тел./факс 8(48135) 7-79-23</w:t>
      </w:r>
    </w:p>
    <w:tbl>
      <w:tblPr>
        <w:tblW w:w="5246" w:type="dxa"/>
        <w:tblInd w:w="-31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2113E3" w:rsidRPr="00DC4657" w:rsidTr="00432F4D">
        <w:trPr>
          <w:trHeight w:val="100"/>
        </w:trPr>
        <w:tc>
          <w:tcPr>
            <w:tcW w:w="52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113E3" w:rsidRPr="00DC4657" w:rsidRDefault="002113E3" w:rsidP="00432F4D">
            <w:pPr>
              <w:spacing w:after="0" w:line="240" w:lineRule="auto"/>
              <w:ind w:right="29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113E3" w:rsidRDefault="002113E3" w:rsidP="002113E3">
      <w:pPr>
        <w:rPr>
          <w:rFonts w:ascii="Times New Roman" w:hAnsi="Times New Roman" w:cs="Times New Roman"/>
          <w:b/>
          <w:sz w:val="48"/>
          <w:szCs w:val="24"/>
        </w:rPr>
      </w:pPr>
    </w:p>
    <w:p w:rsidR="002113E3" w:rsidRPr="007B5C4B" w:rsidRDefault="002113E3" w:rsidP="002113E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B5C4B">
        <w:rPr>
          <w:rFonts w:ascii="Times New Roman" w:hAnsi="Times New Roman" w:cs="Times New Roman"/>
          <w:b/>
          <w:sz w:val="56"/>
          <w:szCs w:val="56"/>
        </w:rPr>
        <w:t>«Вирус сквернословия»</w:t>
      </w:r>
    </w:p>
    <w:p w:rsidR="002113E3" w:rsidRDefault="002113E3" w:rsidP="002113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0189BB" wp14:editId="1D0DADC4">
            <wp:extent cx="3023870" cy="2269792"/>
            <wp:effectExtent l="0" t="0" r="0" b="0"/>
            <wp:docPr id="3" name="Рисунок 3" descr="https://fs00.infourok.ru/images/doc/181/20747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0.infourok.ru/images/doc/181/207475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3E3" w:rsidRDefault="002113E3" w:rsidP="002113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3E3" w:rsidRDefault="002113E3" w:rsidP="002113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3E3" w:rsidRDefault="002113E3" w:rsidP="002113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Карманово</w:t>
      </w:r>
    </w:p>
    <w:p w:rsidR="002113E3" w:rsidRPr="0084702F" w:rsidRDefault="002113E3" w:rsidP="00211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только мы произносим слова-паразиты, тут же</w:t>
      </w:r>
    </w:p>
    <w:p w:rsidR="002113E3" w:rsidRPr="0084702F" w:rsidRDefault="002113E3" w:rsidP="00211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начинаем «мыслить наполовину». Ведь все эти «клёво», «круто», «отстой», «жесть» — всё </w:t>
      </w:r>
      <w:proofErr w:type="gramStart"/>
      <w:r w:rsidRPr="0084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</w:t>
      </w:r>
      <w:proofErr w:type="gramEnd"/>
      <w:r w:rsidRPr="0084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полуфабрикаты. </w:t>
      </w:r>
    </w:p>
    <w:p w:rsidR="002113E3" w:rsidRPr="0084702F" w:rsidRDefault="002113E3" w:rsidP="00211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3E3" w:rsidRPr="0084702F" w:rsidRDefault="002113E3" w:rsidP="00211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хорошо и что такое плохо?» — вопрос не новый, Маяковский задал его почти сто лет назад каждому отцу и каждой маме. Понятия добра и зла, родного и чужого для ещё не говорящего малыша раскрываются исключительно в ощущениях, как понятия тёплого и холодного, горького и сладкого, мягкого и твёрдого. Только когда ребёнок заявит миру о собственном «я» словами, понятия приобретут для него семантическую ясность. И не только для него самого, но и для окружающих, которым он сможет чётко и полно изложить своё отношение к чему бы то ни было — и </w:t>
      </w:r>
      <w:proofErr w:type="gramStart"/>
      <w:r w:rsidRPr="0084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4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плохому, и к хорошему.</w:t>
      </w:r>
    </w:p>
    <w:p w:rsidR="002113E3" w:rsidRPr="0084702F" w:rsidRDefault="002113E3" w:rsidP="00211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3E3" w:rsidRPr="0084702F" w:rsidRDefault="002113E3" w:rsidP="00211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потому наравне со словами, которые обозначают положительные вещи, ребёнку следует давать и другие, подходящие для отрицательных явлений. Причём если о </w:t>
      </w:r>
      <w:proofErr w:type="gramStart"/>
      <w:r w:rsidRPr="0084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хорошем</w:t>
      </w:r>
      <w:proofErr w:type="gramEnd"/>
      <w:r w:rsidRPr="0084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 правильном мы берёмся говорить глубоко и полно, как оно того </w:t>
      </w:r>
      <w:r w:rsidRPr="0084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заслуживает, то и об отрицательном следует говорить так же.</w:t>
      </w:r>
    </w:p>
    <w:p w:rsidR="002113E3" w:rsidRPr="0084702F" w:rsidRDefault="002113E3" w:rsidP="00211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3E3" w:rsidRPr="0084702F" w:rsidRDefault="002113E3" w:rsidP="00211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всю степень неприятия к событию, предмету или личности словечком «отстой» (слово-паразит) — это так же грубо, как положительную эмоцию передать возгласом «клёво» (слово-паразит). Когда мы выражаем мысль примитивно, мы выражаем её только наполовину, а значит, только наполовину мыслим. То есть воспринимаем этакий «полуфабрикат» и так же — «полуфабрикатом» — на него реагируем.</w:t>
      </w:r>
    </w:p>
    <w:p w:rsidR="002113E3" w:rsidRPr="0084702F" w:rsidRDefault="002113E3" w:rsidP="00211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3E3" w:rsidRPr="0084702F" w:rsidRDefault="002113E3" w:rsidP="00211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Всегда, с самого раннего возраста объясняйте детям разницу </w:t>
      </w:r>
      <w:proofErr w:type="gramStart"/>
      <w:r w:rsidRPr="0084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84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отрицательным, примитивным и простым. Слова, которые обозначают отрицательные качества, предупреждают, что в предмете, событии или характере человека есть неприятные стороны. И таких понятий в нашем языке не меньше, чем слов хвалебных и благодарственных. Отвратительный — тот, что отвращает, заставляет отвернуть взор и не воспринимать увиденное. Это слово описывает конкретное отношение к явлению или объекту объёмно и вместе с тем так просто.</w:t>
      </w:r>
    </w:p>
    <w:p w:rsidR="002113E3" w:rsidRPr="0084702F" w:rsidRDefault="002113E3" w:rsidP="00211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3E3" w:rsidRPr="0084702F" w:rsidRDefault="002113E3" w:rsidP="00211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 а слово «отстой»? Когда оно имеет тот же смысл, а когда означает не «отвратительный», а, скажем, «невзрачный»? Без дополнительных объяснений не понять. Или, может, надо мимикой давать собеседнику представление об истинном значении этого слова? Тогда добро пожаловать обратно в неолит.</w:t>
      </w:r>
    </w:p>
    <w:p w:rsidR="002113E3" w:rsidRPr="0084702F" w:rsidRDefault="002113E3" w:rsidP="00211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3E3" w:rsidRPr="0084702F" w:rsidRDefault="002113E3" w:rsidP="00211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 получается, что быстро обмениваться информацией, не искажая её, нам помогает простота, естественность в речи, а примитивность, которую зачастую путают с простотой, не только делает речь и мысль грубыми, но ещё и не даёт донести до собеседника нужную информацию.</w:t>
      </w:r>
    </w:p>
    <w:p w:rsidR="002113E3" w:rsidRPr="0084702F" w:rsidRDefault="002113E3" w:rsidP="00211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3E3" w:rsidRPr="0084702F" w:rsidRDefault="002113E3" w:rsidP="00211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мира начинается с речи. От того, как мы сможем рассказать о предмете, зависит, насколько глубоко мы его постигнем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13E3" w:rsidRPr="0084702F" w:rsidRDefault="002113E3" w:rsidP="00211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3E3" w:rsidRPr="0084702F" w:rsidRDefault="002113E3" w:rsidP="00211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963" w:rsidRDefault="00A53963">
      <w:bookmarkStart w:id="0" w:name="_GoBack"/>
      <w:bookmarkEnd w:id="0"/>
    </w:p>
    <w:sectPr w:rsidR="00A53963" w:rsidSect="00C84238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E3"/>
    <w:rsid w:val="002113E3"/>
    <w:rsid w:val="00A5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2021-01-28T10:50:00Z</dcterms:created>
  <dcterms:modified xsi:type="dcterms:W3CDTF">2021-01-28T10:51:00Z</dcterms:modified>
</cp:coreProperties>
</file>